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outlineLvl w:val="9"/>
        <w:rPr>
          <w:rFonts w:ascii="仿宋" w:hAnsi="仿宋" w:eastAsia="仿宋" w:cs="仿宋"/>
          <w:sz w:val="72"/>
          <w:szCs w:val="72"/>
        </w:rPr>
      </w:pPr>
      <w:bookmarkStart w:id="0" w:name="_Toc20474"/>
      <w:bookmarkStart w:id="1" w:name="_Toc23490"/>
      <w:bookmarkStart w:id="2" w:name="_Toc29492"/>
    </w:p>
    <w:p>
      <w:pPr>
        <w:pStyle w:val="7"/>
        <w:rPr>
          <w:rFonts w:ascii="仿宋" w:hAnsi="仿宋" w:eastAsia="仿宋" w:cs="仿宋"/>
          <w:sz w:val="72"/>
          <w:szCs w:val="72"/>
        </w:rPr>
      </w:pPr>
    </w:p>
    <w:p/>
    <w:p/>
    <w:p/>
    <w:p>
      <w:pPr>
        <w:numPr>
          <w:ilvl w:val="0"/>
          <w:numId w:val="0"/>
        </w:numPr>
        <w:jc w:val="center"/>
        <w:outlineLvl w:val="9"/>
        <w:rPr>
          <w:rFonts w:hint="eastAsia" w:ascii="仿宋" w:hAnsi="仿宋" w:eastAsia="仿宋" w:cs="仿宋"/>
          <w:sz w:val="44"/>
          <w:szCs w:val="44"/>
          <w:lang w:eastAsia="zh-CN"/>
        </w:rPr>
      </w:pPr>
      <w:bookmarkStart w:id="3" w:name="_Toc30092"/>
      <w:r>
        <w:rPr>
          <w:rFonts w:hint="eastAsia" w:ascii="仿宋" w:hAnsi="仿宋" w:eastAsia="仿宋" w:cs="仿宋"/>
          <w:sz w:val="52"/>
          <w:szCs w:val="52"/>
          <w:lang w:val="en-US" w:eastAsia="zh-CN"/>
        </w:rPr>
        <w:t>生物医学与健康产业就业培训基地项目医疗器械实训中心建设项目</w:t>
      </w:r>
    </w:p>
    <w:p>
      <w:pPr>
        <w:numPr>
          <w:ilvl w:val="0"/>
          <w:numId w:val="0"/>
        </w:numPr>
        <w:jc w:val="center"/>
        <w:outlineLvl w:val="9"/>
        <w:rPr>
          <w:rFonts w:hint="eastAsia" w:ascii="仿宋" w:hAnsi="仿宋" w:eastAsia="仿宋" w:cs="仿宋"/>
          <w:sz w:val="72"/>
          <w:szCs w:val="72"/>
        </w:rPr>
      </w:pPr>
    </w:p>
    <w:p>
      <w:pPr>
        <w:pStyle w:val="7"/>
        <w:rPr>
          <w:rFonts w:hint="eastAsia" w:ascii="仿宋" w:hAnsi="仿宋" w:eastAsia="仿宋" w:cs="仿宋"/>
          <w:sz w:val="72"/>
          <w:szCs w:val="72"/>
        </w:rPr>
      </w:pPr>
    </w:p>
    <w:p>
      <w:pPr>
        <w:rPr>
          <w:rFonts w:hint="eastAsia" w:ascii="仿宋" w:hAnsi="仿宋" w:eastAsia="仿宋" w:cs="仿宋"/>
          <w:sz w:val="72"/>
          <w:szCs w:val="72"/>
        </w:rPr>
      </w:pPr>
    </w:p>
    <w:p>
      <w:pPr>
        <w:rPr>
          <w:rFonts w:hint="eastAsia"/>
        </w:rPr>
      </w:pPr>
    </w:p>
    <w:p>
      <w:pPr>
        <w:numPr>
          <w:ilvl w:val="0"/>
          <w:numId w:val="0"/>
        </w:numPr>
        <w:jc w:val="center"/>
        <w:outlineLvl w:val="9"/>
        <w:rPr>
          <w:rFonts w:ascii="仿宋" w:hAnsi="仿宋" w:eastAsia="仿宋" w:cs="仿宋"/>
          <w:b w:val="0"/>
          <w:bCs/>
          <w:sz w:val="36"/>
          <w:szCs w:val="36"/>
        </w:rPr>
      </w:pPr>
      <w:r>
        <w:rPr>
          <w:rFonts w:hint="eastAsia" w:ascii="仿宋" w:hAnsi="仿宋" w:eastAsia="仿宋" w:cs="仿宋"/>
          <w:sz w:val="72"/>
          <w:szCs w:val="72"/>
          <w:lang w:val="en-US" w:eastAsia="zh-CN"/>
        </w:rPr>
        <w:t>基本</w:t>
      </w:r>
      <w:r>
        <w:rPr>
          <w:rFonts w:hint="eastAsia" w:ascii="仿宋" w:hAnsi="仿宋" w:eastAsia="仿宋" w:cs="仿宋"/>
          <w:sz w:val="72"/>
          <w:szCs w:val="72"/>
        </w:rPr>
        <w:t>需求</w:t>
      </w:r>
      <w:bookmarkEnd w:id="0"/>
      <w:bookmarkEnd w:id="1"/>
      <w:bookmarkEnd w:id="2"/>
      <w:bookmarkEnd w:id="3"/>
    </w:p>
    <w:p>
      <w:pPr>
        <w:numPr>
          <w:ilvl w:val="0"/>
          <w:numId w:val="0"/>
        </w:numPr>
        <w:jc w:val="center"/>
        <w:outlineLvl w:val="9"/>
        <w:rPr>
          <w:rFonts w:ascii="仿宋" w:hAnsi="仿宋" w:eastAsia="仿宋" w:cs="仿宋"/>
          <w:b w:val="0"/>
          <w:bCs/>
          <w:sz w:val="36"/>
          <w:szCs w:val="36"/>
        </w:rPr>
      </w:pPr>
    </w:p>
    <w:p>
      <w:pPr>
        <w:rPr>
          <w:rFonts w:ascii="仿宋" w:hAnsi="仿宋" w:eastAsia="仿宋" w:cs="仿宋"/>
          <w:bCs/>
          <w:sz w:val="36"/>
          <w:szCs w:val="36"/>
        </w:rPr>
      </w:pPr>
    </w:p>
    <w:p>
      <w:pPr>
        <w:rPr>
          <w:rFonts w:ascii="仿宋" w:hAnsi="仿宋" w:eastAsia="仿宋" w:cs="仿宋"/>
          <w:bCs/>
          <w:sz w:val="36"/>
          <w:szCs w:val="36"/>
        </w:rPr>
      </w:pPr>
    </w:p>
    <w:p>
      <w:pPr>
        <w:rPr>
          <w:rFonts w:ascii="仿宋" w:hAnsi="仿宋" w:eastAsia="仿宋" w:cs="仿宋"/>
          <w:bCs/>
          <w:sz w:val="36"/>
          <w:szCs w:val="36"/>
        </w:rPr>
      </w:pPr>
    </w:p>
    <w:p>
      <w:pPr>
        <w:rPr>
          <w:rFonts w:ascii="仿宋" w:hAnsi="仿宋" w:eastAsia="仿宋" w:cs="仿宋"/>
          <w:bCs/>
          <w:sz w:val="36"/>
          <w:szCs w:val="36"/>
        </w:rPr>
      </w:pPr>
    </w:p>
    <w:p>
      <w:pPr>
        <w:rPr>
          <w:rFonts w:ascii="仿宋" w:hAnsi="仿宋" w:eastAsia="仿宋" w:cs="仿宋"/>
          <w:bCs/>
          <w:sz w:val="36"/>
          <w:szCs w:val="36"/>
        </w:rPr>
      </w:pPr>
    </w:p>
    <w:p>
      <w:pPr>
        <w:rPr>
          <w:rFonts w:ascii="仿宋" w:hAnsi="仿宋" w:eastAsia="仿宋" w:cs="仿宋"/>
          <w:bCs/>
          <w:sz w:val="36"/>
          <w:szCs w:val="36"/>
        </w:rPr>
      </w:pPr>
    </w:p>
    <w:p>
      <w:pPr>
        <w:jc w:val="both"/>
      </w:pPr>
    </w:p>
    <w:p>
      <w:pPr>
        <w:rPr>
          <w:rFonts w:hint="eastAsia"/>
          <w:lang w:val="en-US" w:eastAsia="zh-CN"/>
        </w:rPr>
      </w:pPr>
      <w:r>
        <w:rPr>
          <w:rFonts w:hint="eastAsia"/>
          <w:lang w:val="en-US" w:eastAsia="zh-CN"/>
        </w:rPr>
        <w:br w:type="page"/>
      </w:r>
    </w:p>
    <w:p>
      <w:pPr>
        <w:bidi w:val="0"/>
        <w:spacing w:line="360" w:lineRule="auto"/>
        <w:outlineLvl w:val="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一、项目背景</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我省职业技能等级认定工作正稳步推进，自2019年11月开展首批职业技能等级认定工作以来，全省已有25575人参加职业技能等级认定，16244人获得技能等级证书，整体合格率为64%。2020年6月，向社会公布了首批50家（整合后为45家）试点技工院校名单。</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省人社厅成立广东省技工院校职业技能等级认定体系建设领导小组及工作专班，以广东省高技能人才培养联盟作为“整体规划、整体推进、交流互助”平台，组织17个专业委员会，建立“工作例会、工作通报、激励惩戒”三个制度，大力推进技工院校的职业技能等级证书工作。按照高质量发展的要求，逐步建立我省产业导向、职业能力标准、行业企业广泛参与，共建共评共认的具有广东特色、全国引领的技工院校职业技能等级证书制度。</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技工院校职业技能等级证书关乎我省技工教育高质量发展问题，与“广东技工”工程密切相关，要加强领导，提高思想认识，构建统一标准、统一命题、统一服务、统一品牌的质量控制体系，举全省人社系统之力，务必在今年上半年取得阶段成果。</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全省各级人社部门、各技工院校要充分认识习近平总书记对技能人才工作重要指示批示精神的重大意义，不断增强技能人才队伍建设高质量发展的使命感、责任感和紧迫感，全面贯彻落实省委省政府的重点工作部署，夯实技工院校教育基础，在更高起点、更高层次、更高目标上推动技能人才队伍建设高质量发展，全力推动技工院校职业技能等级认定工作取得新进展。</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2021年7月5日，省人力资源社会保障厅在广州召开全省职业技能等级认定工作推进会，深入贯彻落实习近平总书记对技能人才工作的重要指示精神，深化技能人才评价制度改革，推进职业技能等级认定工作，进一步加强技能人才队伍建设，构建技能生态，促进产业发展。省人力资源社会保障厅副厅长、一级巡视员杨红山出席会议并讲话。</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会议指出，推行职业技能等级制度，实行市场化、社会化职业技能等级认定，是技能人才工作的重大变革，有利于构建以产业为导向，用人主体、人才培养主体、评价主体融合发展的技能生态；有利于打通技能人才培养、使用、评价、激励链条，紧扣产业链打造人才链，促进人才产业融合发展；有利于提高技能效能，推动人力资源高质量赋能产业发展。今年以来，广东深化技能人才评价制度改革，积极探索，勇于创新，全面推行社会化职业技能等级认定取得阶段性成效，全省获得职业技能等级证书人数达5.5万人次。</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广东推行职业技能等级制度，坚持以产业为导向，以提升技能、促进就业为目标。紧紧围绕服务现代产业体系建设、大力培育发展战略性产业集群，推动行业、企业、院校等广泛参与、共建共治共享，使职业技能等级评价标准发端于产业、反映岗位需求，将职业技能等级证书打造成为广东的“产业证书”。打造龙头企业、技工院校、职业院校、培训机构、行业协会等人才培养主体、评价主体、用人主体共同组成的技能人才培养评价联盟，构建新型产业人才培养评价生态，打通技能人才培养培训、评价认证、招工就业的“最后一公里”，使职业技能等级证书实现以提升技能、促进就业为目标，促进劳动者技能实质性提高，实现高质量就业。</w:t>
      </w:r>
    </w:p>
    <w:p>
      <w:pPr>
        <w:bidi w:val="0"/>
        <w:spacing w:line="360" w:lineRule="auto"/>
        <w:outlineLvl w:val="0"/>
        <w:rPr>
          <w:rFonts w:hint="eastAsia" w:ascii="宋体" w:hAnsi="宋体" w:eastAsia="宋体" w:cs="宋体"/>
          <w:b/>
          <w:bCs/>
          <w:sz w:val="24"/>
          <w:szCs w:val="24"/>
          <w:lang w:val="en-US" w:eastAsia="zh-CN"/>
        </w:rPr>
      </w:pPr>
      <w:bookmarkStart w:id="4" w:name="_Toc29596"/>
      <w:bookmarkStart w:id="5" w:name="_Toc16947"/>
      <w:r>
        <w:rPr>
          <w:rFonts w:hint="eastAsia" w:ascii="宋体" w:hAnsi="宋体" w:eastAsia="宋体" w:cs="宋体"/>
          <w:b/>
          <w:bCs/>
          <w:sz w:val="24"/>
          <w:szCs w:val="24"/>
          <w:lang w:val="en-US" w:eastAsia="zh-CN"/>
        </w:rPr>
        <w:t>二、需求简述</w:t>
      </w:r>
      <w:bookmarkEnd w:id="4"/>
      <w:bookmarkEnd w:id="5"/>
    </w:p>
    <w:p>
      <w:pPr>
        <w:pStyle w:val="2"/>
        <w:spacing w:line="360" w:lineRule="auto"/>
        <w:ind w:firstLine="520" w:firstLineChars="200"/>
        <w:rPr>
          <w:rFonts w:hint="eastAsia" w:ascii="宋体" w:hAnsi="宋体" w:eastAsia="宋体" w:cs="宋体"/>
          <w:sz w:val="24"/>
        </w:rPr>
      </w:pPr>
      <w:r>
        <w:rPr>
          <w:rFonts w:hint="eastAsia" w:ascii="宋体" w:hAnsi="宋体" w:eastAsia="宋体" w:cs="宋体"/>
          <w:sz w:val="24"/>
        </w:rPr>
        <w:t>建设必须满足以下建设要求：</w:t>
      </w:r>
    </w:p>
    <w:p>
      <w:pPr>
        <w:pStyle w:val="2"/>
        <w:numPr>
          <w:ilvl w:val="0"/>
          <w:numId w:val="2"/>
        </w:numPr>
        <w:spacing w:line="360" w:lineRule="auto"/>
        <w:ind w:firstLine="520" w:firstLineChars="200"/>
        <w:rPr>
          <w:rFonts w:hint="eastAsia" w:ascii="宋体" w:hAnsi="宋体" w:eastAsia="宋体" w:cs="宋体"/>
          <w:color w:val="000000"/>
          <w:sz w:val="24"/>
          <w:lang w:eastAsia="zh-CN"/>
        </w:rPr>
      </w:pPr>
      <w:r>
        <w:rPr>
          <w:rFonts w:hint="eastAsia" w:ascii="宋体" w:hAnsi="宋体" w:eastAsia="宋体" w:cs="宋体"/>
          <w:color w:val="000000"/>
          <w:sz w:val="24"/>
        </w:rPr>
        <w:t>提供本项目采购的所有</w:t>
      </w:r>
      <w:r>
        <w:rPr>
          <w:rFonts w:hint="eastAsia" w:ascii="宋体" w:hAnsi="宋体" w:eastAsia="宋体" w:cs="宋体"/>
          <w:color w:val="000000"/>
          <w:sz w:val="24"/>
          <w:lang w:val="en-US" w:eastAsia="zh-CN"/>
        </w:rPr>
        <w:t>设备</w:t>
      </w:r>
      <w:r>
        <w:rPr>
          <w:rFonts w:hint="eastAsia" w:ascii="宋体" w:hAnsi="宋体" w:eastAsia="宋体" w:cs="宋体"/>
          <w:color w:val="000000"/>
          <w:sz w:val="24"/>
        </w:rPr>
        <w:t>的安装和服务的全部内容</w:t>
      </w:r>
      <w:r>
        <w:rPr>
          <w:rFonts w:hint="eastAsia" w:ascii="宋体" w:hAnsi="宋体" w:eastAsia="宋体" w:cs="宋体"/>
          <w:color w:val="000000"/>
          <w:sz w:val="24"/>
          <w:lang w:eastAsia="zh-CN"/>
        </w:rPr>
        <w:t>。</w:t>
      </w:r>
    </w:p>
    <w:p>
      <w:pPr>
        <w:pStyle w:val="2"/>
        <w:numPr>
          <w:ilvl w:val="0"/>
          <w:numId w:val="2"/>
        </w:numPr>
        <w:spacing w:line="360" w:lineRule="auto"/>
        <w:ind w:firstLine="52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所有设备均须送货上门并安装调试。不再收取任何费用。</w:t>
      </w:r>
    </w:p>
    <w:p>
      <w:pPr>
        <w:pStyle w:val="2"/>
        <w:numPr>
          <w:ilvl w:val="0"/>
          <w:numId w:val="2"/>
        </w:numPr>
        <w:spacing w:line="360" w:lineRule="auto"/>
        <w:ind w:firstLine="52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对软硬件产品提供免费保修维护和技术支持服务，软件产品包括免费上门升级。</w:t>
      </w:r>
    </w:p>
    <w:p>
      <w:pPr>
        <w:pStyle w:val="2"/>
        <w:numPr>
          <w:ilvl w:val="0"/>
          <w:numId w:val="2"/>
        </w:numPr>
        <w:spacing w:line="360" w:lineRule="auto"/>
        <w:ind w:firstLine="520" w:firstLineChars="200"/>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要求设备和软件技术成熟，符合广东省或国家相关行业标准。</w:t>
      </w:r>
    </w:p>
    <w:p>
      <w:pPr>
        <w:bidi w:val="0"/>
        <w:spacing w:line="360" w:lineRule="auto"/>
        <w:outlineLvl w:val="0"/>
      </w:pPr>
      <w:r>
        <w:rPr>
          <w:rFonts w:hint="eastAsia" w:ascii="宋体" w:hAnsi="宋体" w:eastAsia="宋体" w:cs="宋体"/>
          <w:b/>
          <w:bCs/>
          <w:sz w:val="24"/>
          <w:szCs w:val="24"/>
          <w:lang w:val="en-US" w:eastAsia="zh-CN"/>
        </w:rPr>
        <w:t>三、采购清单</w:t>
      </w:r>
    </w:p>
    <w:tbl>
      <w:tblPr>
        <w:tblStyle w:val="1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2"/>
        <w:gridCol w:w="6210"/>
        <w:gridCol w:w="1070"/>
        <w:gridCol w:w="11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序号</w:t>
            </w:r>
          </w:p>
        </w:tc>
        <w:tc>
          <w:tcPr>
            <w:tcW w:w="3151" w:type="pct"/>
            <w:vAlign w:val="center"/>
          </w:tcPr>
          <w:p>
            <w:pPr>
              <w:bidi w:val="0"/>
              <w:spacing w:line="240" w:lineRule="auto"/>
              <w:jc w:val="center"/>
              <w:rPr>
                <w:rFonts w:hint="eastAsia" w:ascii="宋体" w:hAnsi="宋体" w:eastAsia="宋体" w:cs="宋体"/>
                <w:sz w:val="21"/>
                <w:szCs w:val="21"/>
              </w:rPr>
            </w:pPr>
            <w:bookmarkStart w:id="6" w:name="_GoBack"/>
            <w:bookmarkEnd w:id="6"/>
            <w:r>
              <w:rPr>
                <w:rFonts w:hint="eastAsia" w:ascii="宋体" w:hAnsi="宋体" w:eastAsia="宋体" w:cs="宋体"/>
                <w:sz w:val="21"/>
                <w:szCs w:val="21"/>
              </w:rPr>
              <w:t>产品名称</w:t>
            </w:r>
          </w:p>
        </w:tc>
        <w:tc>
          <w:tcPr>
            <w:tcW w:w="543"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数量</w:t>
            </w:r>
          </w:p>
        </w:tc>
        <w:tc>
          <w:tcPr>
            <w:tcW w:w="562"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1</w:t>
            </w:r>
          </w:p>
        </w:tc>
        <w:tc>
          <w:tcPr>
            <w:tcW w:w="3151"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荧光定量PCR教学仪器</w:t>
            </w:r>
          </w:p>
        </w:tc>
        <w:tc>
          <w:tcPr>
            <w:tcW w:w="543"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562"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2</w:t>
            </w:r>
          </w:p>
        </w:tc>
        <w:tc>
          <w:tcPr>
            <w:tcW w:w="3151"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蛋白纯化仪</w:t>
            </w:r>
          </w:p>
        </w:tc>
        <w:tc>
          <w:tcPr>
            <w:tcW w:w="543"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562"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3</w:t>
            </w:r>
          </w:p>
        </w:tc>
        <w:tc>
          <w:tcPr>
            <w:tcW w:w="3151"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酶标仪</w:t>
            </w:r>
          </w:p>
        </w:tc>
        <w:tc>
          <w:tcPr>
            <w:tcW w:w="543"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562"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4</w:t>
            </w:r>
          </w:p>
        </w:tc>
        <w:tc>
          <w:tcPr>
            <w:tcW w:w="3151"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全温振荡培养箱</w:t>
            </w:r>
          </w:p>
        </w:tc>
        <w:tc>
          <w:tcPr>
            <w:tcW w:w="543"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562"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5</w:t>
            </w:r>
          </w:p>
        </w:tc>
        <w:tc>
          <w:tcPr>
            <w:tcW w:w="3151"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细胞破碎仪</w:t>
            </w:r>
          </w:p>
        </w:tc>
        <w:tc>
          <w:tcPr>
            <w:tcW w:w="543"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562"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6</w:t>
            </w:r>
          </w:p>
        </w:tc>
        <w:tc>
          <w:tcPr>
            <w:tcW w:w="3151"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数据前置集成终端</w:t>
            </w:r>
          </w:p>
        </w:tc>
        <w:tc>
          <w:tcPr>
            <w:tcW w:w="543"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562"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7</w:t>
            </w:r>
          </w:p>
        </w:tc>
        <w:tc>
          <w:tcPr>
            <w:tcW w:w="3151"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制冰机</w:t>
            </w:r>
          </w:p>
        </w:tc>
        <w:tc>
          <w:tcPr>
            <w:tcW w:w="543"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562"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8</w:t>
            </w:r>
          </w:p>
        </w:tc>
        <w:tc>
          <w:tcPr>
            <w:tcW w:w="3151"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蓝光凝胶成像仪</w:t>
            </w:r>
          </w:p>
        </w:tc>
        <w:tc>
          <w:tcPr>
            <w:tcW w:w="543"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562"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9</w:t>
            </w:r>
          </w:p>
        </w:tc>
        <w:tc>
          <w:tcPr>
            <w:tcW w:w="3151"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全自动纯化仪</w:t>
            </w:r>
          </w:p>
        </w:tc>
        <w:tc>
          <w:tcPr>
            <w:tcW w:w="543"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1</w:t>
            </w:r>
          </w:p>
        </w:tc>
        <w:tc>
          <w:tcPr>
            <w:tcW w:w="562"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42"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10</w:t>
            </w:r>
          </w:p>
        </w:tc>
        <w:tc>
          <w:tcPr>
            <w:tcW w:w="3151"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全自动移液工作站</w:t>
            </w:r>
          </w:p>
        </w:tc>
        <w:tc>
          <w:tcPr>
            <w:tcW w:w="543"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lang w:val="en-US" w:eastAsia="zh-CN"/>
              </w:rPr>
              <w:t>2</w:t>
            </w:r>
          </w:p>
        </w:tc>
        <w:tc>
          <w:tcPr>
            <w:tcW w:w="562" w:type="pct"/>
            <w:vAlign w:val="center"/>
          </w:tcPr>
          <w:p>
            <w:pPr>
              <w:bidi w:val="0"/>
              <w:spacing w:line="240" w:lineRule="auto"/>
              <w:jc w:val="center"/>
              <w:rPr>
                <w:rFonts w:hint="eastAsia" w:ascii="宋体" w:hAnsi="宋体" w:eastAsia="宋体" w:cs="宋体"/>
                <w:sz w:val="21"/>
                <w:szCs w:val="21"/>
              </w:rPr>
            </w:pPr>
            <w:r>
              <w:rPr>
                <w:rFonts w:hint="eastAsia" w:ascii="宋体" w:hAnsi="宋体" w:eastAsia="宋体" w:cs="宋体"/>
                <w:sz w:val="21"/>
                <w:szCs w:val="21"/>
              </w:rPr>
              <w:t>台</w:t>
            </w:r>
          </w:p>
        </w:tc>
      </w:tr>
    </w:tbl>
    <w:p>
      <w:pPr>
        <w:pStyle w:val="13"/>
        <w:rPr>
          <w:rFonts w:hint="default" w:eastAsia="宋体"/>
          <w:lang w:val="en-US" w:eastAsia="zh-CN"/>
        </w:rPr>
      </w:pPr>
    </w:p>
    <w:p>
      <w:pPr>
        <w:pStyle w:val="13"/>
        <w:rPr>
          <w:rFonts w:hint="eastAsia"/>
        </w:rPr>
      </w:pPr>
    </w:p>
    <w:sectPr>
      <w:footerReference r:id="rId3" w:type="default"/>
      <w:pgSz w:w="11906" w:h="16838"/>
      <w:pgMar w:top="1134" w:right="1134" w:bottom="1134" w:left="1134"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C59B83"/>
    <w:multiLevelType w:val="singleLevel"/>
    <w:tmpl w:val="AEC59B83"/>
    <w:lvl w:ilvl="0" w:tentative="0">
      <w:start w:val="1"/>
      <w:numFmt w:val="decimal"/>
      <w:suff w:val="nothing"/>
      <w:lvlText w:val="（%1）"/>
      <w:lvlJc w:val="left"/>
    </w:lvl>
  </w:abstractNum>
  <w:abstractNum w:abstractNumId="1">
    <w:nsid w:val="77233D0A"/>
    <w:multiLevelType w:val="multilevel"/>
    <w:tmpl w:val="77233D0A"/>
    <w:lvl w:ilvl="0" w:tentative="0">
      <w:start w:val="1"/>
      <w:numFmt w:val="decimal"/>
      <w:pStyle w:val="3"/>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wYmY0YjQ1MDE0Yjk4MGQ1NTU1MDYzYjQyM2VlYzYifQ=="/>
  </w:docVars>
  <w:rsids>
    <w:rsidRoot w:val="00A7736B"/>
    <w:rsid w:val="00014348"/>
    <w:rsid w:val="00080919"/>
    <w:rsid w:val="001072B0"/>
    <w:rsid w:val="00164A3C"/>
    <w:rsid w:val="001977C6"/>
    <w:rsid w:val="001A2B2D"/>
    <w:rsid w:val="001A34DE"/>
    <w:rsid w:val="001B2E25"/>
    <w:rsid w:val="001C5EEE"/>
    <w:rsid w:val="00223809"/>
    <w:rsid w:val="00240565"/>
    <w:rsid w:val="002444D6"/>
    <w:rsid w:val="00253C36"/>
    <w:rsid w:val="00265BEC"/>
    <w:rsid w:val="002A4211"/>
    <w:rsid w:val="002C6952"/>
    <w:rsid w:val="002E6E3E"/>
    <w:rsid w:val="003A59EB"/>
    <w:rsid w:val="003B7479"/>
    <w:rsid w:val="003D4C8C"/>
    <w:rsid w:val="00421E17"/>
    <w:rsid w:val="004540C9"/>
    <w:rsid w:val="00497529"/>
    <w:rsid w:val="004F628E"/>
    <w:rsid w:val="005835F7"/>
    <w:rsid w:val="005945E1"/>
    <w:rsid w:val="00602034"/>
    <w:rsid w:val="006224D6"/>
    <w:rsid w:val="00653863"/>
    <w:rsid w:val="0068335C"/>
    <w:rsid w:val="00687B29"/>
    <w:rsid w:val="006C5B50"/>
    <w:rsid w:val="006D0BD3"/>
    <w:rsid w:val="0071671B"/>
    <w:rsid w:val="00723E4A"/>
    <w:rsid w:val="00744DF5"/>
    <w:rsid w:val="007F0F20"/>
    <w:rsid w:val="00834F4A"/>
    <w:rsid w:val="0084255E"/>
    <w:rsid w:val="0085382E"/>
    <w:rsid w:val="00864BDD"/>
    <w:rsid w:val="008A68ED"/>
    <w:rsid w:val="008B5C9A"/>
    <w:rsid w:val="008F4D60"/>
    <w:rsid w:val="008F6388"/>
    <w:rsid w:val="0096139C"/>
    <w:rsid w:val="009C1901"/>
    <w:rsid w:val="009F05FA"/>
    <w:rsid w:val="009F3944"/>
    <w:rsid w:val="00A32DFF"/>
    <w:rsid w:val="00A7736B"/>
    <w:rsid w:val="00AF08C7"/>
    <w:rsid w:val="00B717AB"/>
    <w:rsid w:val="00BD5A1A"/>
    <w:rsid w:val="00C13E0E"/>
    <w:rsid w:val="00C60784"/>
    <w:rsid w:val="00C61A43"/>
    <w:rsid w:val="00CA5C24"/>
    <w:rsid w:val="00D36060"/>
    <w:rsid w:val="00D413C6"/>
    <w:rsid w:val="00D7452F"/>
    <w:rsid w:val="00DA7A59"/>
    <w:rsid w:val="00E903E9"/>
    <w:rsid w:val="00E93158"/>
    <w:rsid w:val="00EB55DE"/>
    <w:rsid w:val="01CA5A95"/>
    <w:rsid w:val="0244775F"/>
    <w:rsid w:val="02B96468"/>
    <w:rsid w:val="03EA0EB5"/>
    <w:rsid w:val="06CE3AE3"/>
    <w:rsid w:val="07A27CB8"/>
    <w:rsid w:val="0A544258"/>
    <w:rsid w:val="0AAC0731"/>
    <w:rsid w:val="0C0C017B"/>
    <w:rsid w:val="0D7675A0"/>
    <w:rsid w:val="1588321A"/>
    <w:rsid w:val="158C4BBC"/>
    <w:rsid w:val="19991916"/>
    <w:rsid w:val="1B2D665E"/>
    <w:rsid w:val="1C5151B4"/>
    <w:rsid w:val="1E5439C8"/>
    <w:rsid w:val="1E8A2A1F"/>
    <w:rsid w:val="1E973964"/>
    <w:rsid w:val="203176E0"/>
    <w:rsid w:val="27885BF1"/>
    <w:rsid w:val="28415903"/>
    <w:rsid w:val="290F25F7"/>
    <w:rsid w:val="295D40CE"/>
    <w:rsid w:val="2BBC43F6"/>
    <w:rsid w:val="3175714F"/>
    <w:rsid w:val="33016EEC"/>
    <w:rsid w:val="34257B9A"/>
    <w:rsid w:val="35382DFA"/>
    <w:rsid w:val="368F1515"/>
    <w:rsid w:val="376D6345"/>
    <w:rsid w:val="382114CC"/>
    <w:rsid w:val="38CE3147"/>
    <w:rsid w:val="397160F3"/>
    <w:rsid w:val="3A925E6C"/>
    <w:rsid w:val="3CA204BF"/>
    <w:rsid w:val="3F921DB4"/>
    <w:rsid w:val="423F2B8D"/>
    <w:rsid w:val="42BC3428"/>
    <w:rsid w:val="43060390"/>
    <w:rsid w:val="43E30CA1"/>
    <w:rsid w:val="453A139E"/>
    <w:rsid w:val="45AE08C8"/>
    <w:rsid w:val="466113E4"/>
    <w:rsid w:val="480D18AD"/>
    <w:rsid w:val="4A580AB5"/>
    <w:rsid w:val="4DD2750D"/>
    <w:rsid w:val="4E8A1436"/>
    <w:rsid w:val="4EA97D5B"/>
    <w:rsid w:val="4EF83E1F"/>
    <w:rsid w:val="4FEF0E2D"/>
    <w:rsid w:val="50BB66E3"/>
    <w:rsid w:val="521D4F6D"/>
    <w:rsid w:val="526D1ACB"/>
    <w:rsid w:val="53F242EF"/>
    <w:rsid w:val="588432BC"/>
    <w:rsid w:val="595A3836"/>
    <w:rsid w:val="598A4AA9"/>
    <w:rsid w:val="59EF0D36"/>
    <w:rsid w:val="5B3A65A0"/>
    <w:rsid w:val="5C087B2C"/>
    <w:rsid w:val="5CB033BE"/>
    <w:rsid w:val="5DDC67DE"/>
    <w:rsid w:val="5E097B9C"/>
    <w:rsid w:val="5EBF2F2B"/>
    <w:rsid w:val="5FFE7AA2"/>
    <w:rsid w:val="614E5143"/>
    <w:rsid w:val="6C3057D4"/>
    <w:rsid w:val="6CCE7F1D"/>
    <w:rsid w:val="6D1E6129"/>
    <w:rsid w:val="6D4F64CA"/>
    <w:rsid w:val="6DFD034F"/>
    <w:rsid w:val="6ECC2B2D"/>
    <w:rsid w:val="71C62AB1"/>
    <w:rsid w:val="72DC3727"/>
    <w:rsid w:val="72F04C82"/>
    <w:rsid w:val="73000A6D"/>
    <w:rsid w:val="75A16751"/>
    <w:rsid w:val="76C77417"/>
    <w:rsid w:val="779A20E1"/>
    <w:rsid w:val="7ABC1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17"/>
    <w:qFormat/>
    <w:uiPriority w:val="0"/>
    <w:pPr>
      <w:keepNext/>
      <w:keepLines/>
      <w:numPr>
        <w:ilvl w:val="0"/>
        <w:numId w:val="1"/>
      </w:numPr>
      <w:spacing w:before="340" w:after="330" w:line="576" w:lineRule="auto"/>
      <w:outlineLvl w:val="0"/>
    </w:pPr>
    <w:rPr>
      <w:b/>
      <w:kern w:val="44"/>
      <w:sz w:val="44"/>
    </w:rPr>
  </w:style>
  <w:style w:type="paragraph" w:styleId="4">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qFormat/>
    <w:uiPriority w:val="0"/>
    <w:pPr>
      <w:spacing w:before="25" w:after="25"/>
      <w:jc w:val="left"/>
    </w:pPr>
    <w:rPr>
      <w:rFonts w:ascii="Times New Roman" w:hAnsi="Times New Roman"/>
      <w:bCs/>
      <w:spacing w:val="10"/>
      <w:kern w:val="0"/>
      <w:sz w:val="24"/>
      <w:szCs w:val="20"/>
    </w:rPr>
  </w:style>
  <w:style w:type="paragraph" w:styleId="6">
    <w:name w:val="annotation text"/>
    <w:basedOn w:val="1"/>
    <w:link w:val="22"/>
    <w:semiHidden/>
    <w:unhideWhenUsed/>
    <w:qFormat/>
    <w:uiPriority w:val="99"/>
    <w:pPr>
      <w:jc w:val="left"/>
    </w:pPr>
  </w:style>
  <w:style w:type="paragraph" w:styleId="7">
    <w:name w:val="Body Text"/>
    <w:basedOn w:val="1"/>
    <w:next w:val="1"/>
    <w:qFormat/>
    <w:uiPriority w:val="1"/>
    <w:pPr>
      <w:ind w:left="149"/>
    </w:pPr>
    <w:rPr>
      <w:rFonts w:ascii="宋体" w:hAnsi="宋体" w:eastAsia="宋体"/>
      <w:szCs w:val="21"/>
    </w:rPr>
  </w:style>
  <w:style w:type="paragraph" w:styleId="8">
    <w:name w:val="footer"/>
    <w:basedOn w:val="1"/>
    <w:link w:val="28"/>
    <w:unhideWhenUsed/>
    <w:qFormat/>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unhideWhenUsed/>
    <w:qFormat/>
    <w:uiPriority w:val="39"/>
  </w:style>
  <w:style w:type="paragraph" w:styleId="11">
    <w:name w:val="toc 2"/>
    <w:basedOn w:val="1"/>
    <w:next w:val="1"/>
    <w:semiHidden/>
    <w:unhideWhenUsed/>
    <w:qFormat/>
    <w:uiPriority w:val="39"/>
    <w:pPr>
      <w:ind w:left="420" w:leftChars="200"/>
    </w:pPr>
  </w:style>
  <w:style w:type="paragraph" w:styleId="12">
    <w:name w:val="annotation subject"/>
    <w:basedOn w:val="6"/>
    <w:next w:val="6"/>
    <w:link w:val="23"/>
    <w:semiHidden/>
    <w:unhideWhenUsed/>
    <w:qFormat/>
    <w:uiPriority w:val="99"/>
    <w:rPr>
      <w:b/>
      <w:bCs/>
    </w:rPr>
  </w:style>
  <w:style w:type="paragraph" w:styleId="13">
    <w:name w:val="Body Text First Indent"/>
    <w:basedOn w:val="7"/>
    <w:unhideWhenUsed/>
    <w:qFormat/>
    <w:uiPriority w:val="99"/>
    <w:pPr>
      <w:ind w:firstLine="420" w:firstLineChars="100"/>
    </w:pPr>
  </w:style>
  <w:style w:type="character" w:styleId="16">
    <w:name w:val="annotation reference"/>
    <w:basedOn w:val="15"/>
    <w:semiHidden/>
    <w:unhideWhenUsed/>
    <w:qFormat/>
    <w:uiPriority w:val="99"/>
    <w:rPr>
      <w:sz w:val="21"/>
      <w:szCs w:val="21"/>
    </w:rPr>
  </w:style>
  <w:style w:type="character" w:customStyle="1" w:styleId="17">
    <w:name w:val="标题 1 字符"/>
    <w:basedOn w:val="15"/>
    <w:link w:val="3"/>
    <w:qFormat/>
    <w:uiPriority w:val="0"/>
    <w:rPr>
      <w:b/>
      <w:kern w:val="44"/>
      <w:sz w:val="44"/>
      <w:szCs w:val="24"/>
    </w:rPr>
  </w:style>
  <w:style w:type="character" w:customStyle="1" w:styleId="18">
    <w:name w:val="标题 2 字符"/>
    <w:basedOn w:val="15"/>
    <w:link w:val="4"/>
    <w:qFormat/>
    <w:uiPriority w:val="9"/>
    <w:rPr>
      <w:rFonts w:asciiTheme="majorHAnsi" w:hAnsiTheme="majorHAnsi" w:eastAsiaTheme="majorEastAsia" w:cstheme="majorBidi"/>
      <w:b/>
      <w:bCs/>
      <w:sz w:val="32"/>
      <w:szCs w:val="32"/>
    </w:rPr>
  </w:style>
  <w:style w:type="character" w:customStyle="1" w:styleId="19">
    <w:name w:val="标题 3 字符"/>
    <w:basedOn w:val="15"/>
    <w:link w:val="5"/>
    <w:qFormat/>
    <w:uiPriority w:val="9"/>
    <w:rPr>
      <w:b/>
      <w:bCs/>
      <w:kern w:val="2"/>
      <w:sz w:val="32"/>
      <w:szCs w:val="32"/>
    </w:rPr>
  </w:style>
  <w:style w:type="paragraph" w:customStyle="1" w:styleId="20">
    <w:name w:val="正文_0"/>
    <w:qFormat/>
    <w:uiPriority w:val="0"/>
    <w:pPr>
      <w:widowControl w:val="0"/>
      <w:spacing w:after="200" w:line="360" w:lineRule="auto"/>
      <w:jc w:val="both"/>
    </w:pPr>
    <w:rPr>
      <w:rFonts w:ascii="Calibri" w:hAnsi="Calibri" w:eastAsia="宋体" w:cs="Times New Roman"/>
      <w:kern w:val="2"/>
      <w:sz w:val="24"/>
      <w:szCs w:val="22"/>
      <w:lang w:val="en-US" w:eastAsia="zh-CN" w:bidi="ar-SA"/>
    </w:rPr>
  </w:style>
  <w:style w:type="paragraph" w:customStyle="1" w:styleId="21">
    <w:name w:val="正文_9"/>
    <w:qFormat/>
    <w:uiPriority w:val="0"/>
    <w:pPr>
      <w:widowControl w:val="0"/>
      <w:jc w:val="both"/>
    </w:pPr>
    <w:rPr>
      <w:rFonts w:ascii="Calibri" w:hAnsi="Calibri" w:eastAsia="宋体" w:cs="Times New Roman"/>
      <w:kern w:val="2"/>
      <w:sz w:val="21"/>
      <w:szCs w:val="22"/>
      <w:lang w:val="en-US" w:eastAsia="zh-CN" w:bidi="ar-SA"/>
    </w:rPr>
  </w:style>
  <w:style w:type="character" w:customStyle="1" w:styleId="22">
    <w:name w:val="批注文字 字符"/>
    <w:basedOn w:val="15"/>
    <w:link w:val="6"/>
    <w:semiHidden/>
    <w:qFormat/>
    <w:uiPriority w:val="99"/>
    <w:rPr>
      <w:szCs w:val="24"/>
    </w:rPr>
  </w:style>
  <w:style w:type="character" w:customStyle="1" w:styleId="23">
    <w:name w:val="批注主题 字符"/>
    <w:basedOn w:val="22"/>
    <w:link w:val="12"/>
    <w:semiHidden/>
    <w:qFormat/>
    <w:uiPriority w:val="99"/>
    <w:rPr>
      <w:b/>
      <w:bCs/>
      <w:szCs w:val="24"/>
    </w:rPr>
  </w:style>
  <w:style w:type="character" w:customStyle="1" w:styleId="24">
    <w:name w:val="font41"/>
    <w:basedOn w:val="15"/>
    <w:qFormat/>
    <w:uiPriority w:val="0"/>
    <w:rPr>
      <w:rFonts w:hint="eastAsia" w:ascii="微软雅黑" w:hAnsi="微软雅黑" w:eastAsia="微软雅黑"/>
      <w:color w:val="000000"/>
      <w:sz w:val="20"/>
      <w:szCs w:val="20"/>
      <w:u w:val="none"/>
    </w:rPr>
  </w:style>
  <w:style w:type="character" w:customStyle="1" w:styleId="25">
    <w:name w:val="font91"/>
    <w:basedOn w:val="15"/>
    <w:qFormat/>
    <w:uiPriority w:val="0"/>
    <w:rPr>
      <w:rFonts w:hint="eastAsia" w:ascii="微软雅黑" w:hAnsi="微软雅黑" w:eastAsia="微软雅黑"/>
      <w:color w:val="000000"/>
      <w:sz w:val="21"/>
      <w:szCs w:val="21"/>
      <w:u w:val="none"/>
    </w:rPr>
  </w:style>
  <w:style w:type="paragraph" w:styleId="26">
    <w:name w:val="List Paragraph"/>
    <w:basedOn w:val="1"/>
    <w:qFormat/>
    <w:uiPriority w:val="99"/>
    <w:pPr>
      <w:ind w:firstLine="420" w:firstLineChars="200"/>
    </w:pPr>
  </w:style>
  <w:style w:type="character" w:customStyle="1" w:styleId="27">
    <w:name w:val="页眉 字符"/>
    <w:basedOn w:val="15"/>
    <w:link w:val="9"/>
    <w:qFormat/>
    <w:uiPriority w:val="99"/>
    <w:rPr>
      <w:kern w:val="2"/>
      <w:sz w:val="18"/>
      <w:szCs w:val="18"/>
    </w:rPr>
  </w:style>
  <w:style w:type="character" w:customStyle="1" w:styleId="28">
    <w:name w:val="页脚 字符"/>
    <w:basedOn w:val="15"/>
    <w:link w:val="8"/>
    <w:qFormat/>
    <w:uiPriority w:val="99"/>
    <w:rPr>
      <w:kern w:val="2"/>
      <w:sz w:val="18"/>
      <w:szCs w:val="18"/>
    </w:rPr>
  </w:style>
  <w:style w:type="character" w:customStyle="1" w:styleId="29">
    <w:name w:val="font31"/>
    <w:basedOn w:val="15"/>
    <w:qFormat/>
    <w:uiPriority w:val="0"/>
    <w:rPr>
      <w:rFonts w:hint="eastAsia" w:ascii="宋体" w:hAnsi="宋体" w:eastAsia="宋体" w:cs="宋体"/>
      <w:color w:val="000000"/>
      <w:sz w:val="18"/>
      <w:szCs w:val="18"/>
      <w:u w:val="none"/>
    </w:rPr>
  </w:style>
  <w:style w:type="character" w:customStyle="1" w:styleId="30">
    <w:name w:val="font131"/>
    <w:basedOn w:val="15"/>
    <w:qFormat/>
    <w:uiPriority w:val="0"/>
    <w:rPr>
      <w:rFonts w:hint="eastAsia" w:ascii="宋体" w:hAnsi="宋体" w:eastAsia="宋体" w:cs="宋体"/>
      <w:color w:val="000000"/>
      <w:sz w:val="18"/>
      <w:szCs w:val="18"/>
      <w:u w:val="none"/>
      <w:vertAlign w:val="superscript"/>
    </w:rPr>
  </w:style>
  <w:style w:type="character" w:customStyle="1" w:styleId="31">
    <w:name w:val="font141"/>
    <w:basedOn w:val="15"/>
    <w:qFormat/>
    <w:uiPriority w:val="0"/>
    <w:rPr>
      <w:rFonts w:hint="eastAsia" w:ascii="宋体" w:hAnsi="宋体" w:eastAsia="宋体" w:cs="宋体"/>
      <w:color w:val="000000"/>
      <w:sz w:val="20"/>
      <w:szCs w:val="20"/>
      <w:u w:val="none"/>
      <w:vertAlign w:val="superscript"/>
    </w:rPr>
  </w:style>
  <w:style w:type="paragraph" w:customStyle="1" w:styleId="32">
    <w:name w:val="Normal_34"/>
    <w:qFormat/>
    <w:uiPriority w:val="0"/>
    <w:rPr>
      <w:rFonts w:ascii="Times New Roman" w:hAnsi="Times New Roman" w:eastAsia="Times New Roman" w:cs="Times New Roman"/>
      <w:sz w:val="24"/>
      <w:szCs w:val="24"/>
      <w:lang w:val="en-US" w:eastAsia="zh-CN" w:bidi="ar-SA"/>
    </w:rPr>
  </w:style>
  <w:style w:type="paragraph" w:customStyle="1" w:styleId="33">
    <w:name w:val="Table Paragraph"/>
    <w:basedOn w:val="1"/>
    <w:qFormat/>
    <w:uiPriority w:val="1"/>
  </w:style>
  <w:style w:type="paragraph" w:customStyle="1" w:styleId="34">
    <w:name w:val="正文_0_0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2320</Words>
  <Characters>2403</Characters>
  <Lines>73</Lines>
  <Paragraphs>20</Paragraphs>
  <TotalTime>1</TotalTime>
  <ScaleCrop>false</ScaleCrop>
  <LinksUpToDate>false</LinksUpToDate>
  <CharactersWithSpaces>2403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2021-04-01T01:34:00Z</dcterms:created>
  <dc:creator>陈 佳贤</dc:creator>
  <cp:lastModifiedBy>Space</cp:lastModifiedBy>
  <cp:lastPrinted>2021-04-08T02:27:00Z</cp:lastPrinted>
  <dcterms:modified xsi:type="dcterms:W3CDTF">2023-10-23T02:37:02Z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3D07849331494C4F8E507DF7E9EB18EB</vt:lpwstr>
  </property>
</Properties>
</file>