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both"/>
        <w:outlineLvl w:val="9"/>
        <w:rPr>
          <w:rFonts w:ascii="仿宋" w:hAnsi="仿宋" w:eastAsia="仿宋" w:cs="仿宋"/>
          <w:sz w:val="72"/>
          <w:szCs w:val="72"/>
        </w:rPr>
      </w:pPr>
      <w:bookmarkStart w:id="0" w:name="_Toc20474"/>
      <w:bookmarkStart w:id="1" w:name="_Toc23490"/>
      <w:bookmarkStart w:id="2" w:name="_Toc29492"/>
    </w:p>
    <w:p>
      <w:pPr>
        <w:pStyle w:val="8"/>
        <w:rPr>
          <w:rFonts w:ascii="仿宋" w:hAnsi="仿宋" w:eastAsia="仿宋" w:cs="仿宋"/>
          <w:sz w:val="72"/>
          <w:szCs w:val="72"/>
        </w:rPr>
      </w:pPr>
    </w:p>
    <w:p/>
    <w:p/>
    <w:p/>
    <w:p>
      <w:pPr>
        <w:numPr>
          <w:ilvl w:val="0"/>
          <w:numId w:val="0"/>
        </w:numPr>
        <w:jc w:val="center"/>
        <w:outlineLvl w:val="9"/>
        <w:rPr>
          <w:rFonts w:hint="eastAsia" w:ascii="仿宋" w:hAnsi="仿宋" w:eastAsia="仿宋" w:cs="仿宋"/>
          <w:sz w:val="72"/>
          <w:szCs w:val="72"/>
        </w:rPr>
      </w:pPr>
      <w:bookmarkStart w:id="3" w:name="_Toc30092"/>
      <w:r>
        <w:rPr>
          <w:rFonts w:hint="eastAsia" w:ascii="宋体" w:hAnsi="宋体" w:eastAsia="宋体" w:cs="宋体"/>
          <w:sz w:val="52"/>
          <w:szCs w:val="52"/>
          <w:lang w:eastAsia="zh-CN"/>
        </w:rPr>
        <w:t>生物医药与健康产业就业培训基地项目新职业（工种）认定及师资培训项目采购项目</w:t>
      </w:r>
    </w:p>
    <w:p>
      <w:pPr>
        <w:pStyle w:val="8"/>
        <w:rPr>
          <w:rFonts w:hint="eastAsia" w:ascii="仿宋" w:hAnsi="仿宋" w:eastAsia="仿宋" w:cs="仿宋"/>
          <w:sz w:val="72"/>
          <w:szCs w:val="72"/>
        </w:rPr>
      </w:pPr>
    </w:p>
    <w:p>
      <w:pPr>
        <w:rPr>
          <w:rFonts w:hint="eastAsia" w:ascii="仿宋" w:hAnsi="仿宋" w:eastAsia="仿宋" w:cs="仿宋"/>
          <w:sz w:val="72"/>
          <w:szCs w:val="72"/>
        </w:rPr>
      </w:pPr>
    </w:p>
    <w:p>
      <w:pPr>
        <w:rPr>
          <w:rFonts w:hint="eastAsia"/>
        </w:rPr>
      </w:pPr>
    </w:p>
    <w:p>
      <w:pPr>
        <w:numPr>
          <w:ilvl w:val="0"/>
          <w:numId w:val="0"/>
        </w:numPr>
        <w:jc w:val="center"/>
        <w:outlineLvl w:val="9"/>
        <w:rPr>
          <w:rFonts w:ascii="仿宋" w:hAnsi="仿宋" w:eastAsia="仿宋" w:cs="仿宋"/>
          <w:b w:val="0"/>
          <w:bCs/>
          <w:sz w:val="36"/>
          <w:szCs w:val="36"/>
        </w:rPr>
      </w:pPr>
      <w:r>
        <w:rPr>
          <w:rFonts w:hint="eastAsia" w:ascii="仿宋" w:hAnsi="仿宋" w:eastAsia="仿宋" w:cs="仿宋"/>
          <w:sz w:val="72"/>
          <w:szCs w:val="72"/>
          <w:lang w:val="en-US" w:eastAsia="zh-CN"/>
        </w:rPr>
        <w:t>基本</w:t>
      </w:r>
      <w:r>
        <w:rPr>
          <w:rFonts w:hint="eastAsia" w:ascii="仿宋" w:hAnsi="仿宋" w:eastAsia="仿宋" w:cs="仿宋"/>
          <w:sz w:val="72"/>
          <w:szCs w:val="72"/>
        </w:rPr>
        <w:t>需求</w:t>
      </w:r>
      <w:bookmarkEnd w:id="0"/>
      <w:bookmarkEnd w:id="1"/>
      <w:bookmarkEnd w:id="2"/>
      <w:bookmarkEnd w:id="3"/>
    </w:p>
    <w:p>
      <w:pPr>
        <w:numPr>
          <w:ilvl w:val="0"/>
          <w:numId w:val="0"/>
        </w:numPr>
        <w:jc w:val="center"/>
        <w:outlineLvl w:val="9"/>
        <w:rPr>
          <w:rFonts w:ascii="仿宋" w:hAnsi="仿宋" w:eastAsia="仿宋" w:cs="仿宋"/>
          <w:b w:val="0"/>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rPr>
          <w:rFonts w:ascii="仿宋" w:hAnsi="仿宋" w:eastAsia="仿宋" w:cs="仿宋"/>
          <w:bCs/>
          <w:sz w:val="36"/>
          <w:szCs w:val="36"/>
        </w:rPr>
      </w:pPr>
    </w:p>
    <w:p>
      <w:pPr>
        <w:jc w:val="both"/>
      </w:pPr>
    </w:p>
    <w:p>
      <w:pPr>
        <w:rPr>
          <w:rFonts w:hint="eastAsia"/>
          <w:lang w:val="en-US" w:eastAsia="zh-CN"/>
        </w:rPr>
      </w:pPr>
      <w:r>
        <w:rPr>
          <w:rFonts w:hint="eastAsia"/>
          <w:lang w:val="en-US" w:eastAsia="zh-CN"/>
        </w:rPr>
        <w:br w:type="page"/>
      </w:r>
    </w:p>
    <w:p>
      <w:pPr>
        <w:bidi w:val="0"/>
        <w:spacing w:line="360" w:lineRule="auto"/>
        <w:outlineLvl w:val="0"/>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一、项目背景</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广东省岭南工商第一技师学院(广东省岭南工商第一高级技工学校)位于广州市花都汽车产业基地园区，学院创办于1974年，是省人力资源和社会保障厅直属管理的省财政拨款公办国家级重点综合型技师学院、目前占地面积320多亩，建筑面积12万多平方米，现有在校生近万人。学院是广东省2010年首批“国家中等职业教育改革发展示范学校”七所技工院校之一、“广东省首批校企双制示范创建院校”，曾荣获“全国教育系统先进单位”、“全国技工院校先进集体”等荣誉称号。2021年7月，学院被广东省人社厅确定为全省首批创全国一流的十所高水平技师学院创建单位之一。</w:t>
      </w:r>
    </w:p>
    <w:p>
      <w:pPr>
        <w:bidi w:val="0"/>
        <w:spacing w:line="360" w:lineRule="auto"/>
        <w:outlineLvl w:val="0"/>
        <w:rPr>
          <w:rFonts w:hint="default" w:ascii="宋体" w:hAnsi="宋体" w:eastAsia="宋体" w:cs="宋体"/>
          <w:b/>
          <w:szCs w:val="21"/>
          <w:lang w:val="en-US"/>
        </w:rPr>
      </w:pPr>
      <w:r>
        <w:rPr>
          <w:rFonts w:hint="eastAsia" w:ascii="宋体" w:hAnsi="宋体" w:eastAsia="宋体" w:cs="宋体"/>
          <w:b/>
          <w:bCs/>
          <w:sz w:val="24"/>
          <w:szCs w:val="24"/>
          <w:lang w:val="en-US" w:eastAsia="zh-CN"/>
        </w:rPr>
        <w:t>二、需求简述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2021年11月2号，广东省人力资源和社会保障厅关于印发《关于组织开展产业就业培训基地建设的通知》中指出：</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产业就业培训基地是我省适应新形式下职业技能培训工作需要，围绕我省战略性产业和区域经济发展需要，提前布局职业技能培训基地网络，提高我省市场化、社会化培训水平，提升劳动者职业技能水平和就业创业能力，重点面向20个战略性产业集群，支持龙头企业（上市公司）、技工院校、职业院校和培训机构开展建设的技能培训基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文件中相关工作要求指出：加强产业就业培训基地建设是助推我省战略性产业发展、实施乡村振兴战略、建设粤港澳大湾区的重要举措，是推动落实全省高技能人才队伍建设的重要抓手，是实施“三项工程”和职业技能提升行动的重要体现。</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2022年3月4号，人力资源和社会保障部关于印发《推进技工院校工学一体化技能人才培养模式实施方案》的通知中指出：</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一）制定工学一体化课程标准。通过组织制定、征集遴选等多种方式加快和修订技工院校工学一体化课程标准，明确培养目标、课程安排、课程规范、实施建议、考核与评价等技能人才培养要求。以通用职业素质课程为突破口，加快公共基础课课程改革创新发展。促进工学一体化课程标准与世界先进标准对接，充分吸收世界技能大赛的先进理念、技能标准、评价体系，推进世界技能大赛各赛项的专业或课程转化工作。</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二）定制化开发工学一体化教学资源。紧密对接产业升级和技术变革趋势，优先开发先进制造业、现代服务业、战略性新兴产业，以及国家急需紧缺职业的教学资源，创新教材形态，开发活页式、工作手册式、融媒体式等教材。开发满足课程教学需要的教学资源包，包含教材、工作页、教学案例库、教学课件、教学视频等。落实《技工院校教材管理工作实施细则》，强化教材规范化管理，坚持凡编必审、凡选必审。</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结合文件指示，在产业就业培训基地的建设中，按照建设任务要点，在工学一体化课程标准制定、工学一体化教学资源开发方面，制定了本次关于“广东省岭南工商第一技师学院生物医药与健康产业就业培训基地项目新职业（工种）认定及师资培训项目项目”的实施方案。</w:t>
      </w:r>
    </w:p>
    <w:p>
      <w:pPr>
        <w:bidi w:val="0"/>
        <w:spacing w:line="360" w:lineRule="auto"/>
        <w:outlineLvl w:val="0"/>
        <w:rPr>
          <w:rFonts w:hint="default" w:ascii="宋体" w:hAnsi="宋体" w:eastAsia="宋体" w:cs="宋体"/>
          <w:b/>
          <w:szCs w:val="21"/>
          <w:lang w:val="en-US"/>
        </w:rPr>
      </w:pPr>
      <w:r>
        <w:rPr>
          <w:rFonts w:hint="eastAsia" w:ascii="宋体" w:hAnsi="宋体" w:eastAsia="宋体" w:cs="宋体"/>
          <w:b/>
          <w:bCs/>
          <w:sz w:val="24"/>
          <w:szCs w:val="24"/>
          <w:lang w:val="en-US" w:eastAsia="zh-CN"/>
        </w:rPr>
        <w:t>三、主要建设内容</w:t>
      </w:r>
    </w:p>
    <w:p>
      <w:pPr>
        <w:spacing w:line="360" w:lineRule="auto"/>
        <w:ind w:firstLine="480" w:firstLineChars="200"/>
        <w:rPr>
          <w:rFonts w:hint="default" w:ascii="宋体" w:hAnsi="宋体" w:eastAsia="宋体" w:cs="宋体"/>
          <w:color w:val="auto"/>
          <w:kern w:val="2"/>
          <w:sz w:val="24"/>
          <w:szCs w:val="24"/>
          <w:highlight w:val="none"/>
          <w:lang w:val="en-US" w:eastAsia="zh-CN"/>
        </w:rPr>
      </w:pPr>
      <w:bookmarkStart w:id="4" w:name="_Toc7181"/>
      <w:r>
        <w:rPr>
          <w:rFonts w:hint="eastAsia" w:ascii="宋体" w:hAnsi="宋体" w:eastAsia="宋体" w:cs="宋体"/>
          <w:color w:val="auto"/>
          <w:kern w:val="2"/>
          <w:sz w:val="24"/>
          <w:szCs w:val="24"/>
          <w:highlight w:val="none"/>
          <w:lang w:val="en-US" w:eastAsia="zh-CN"/>
        </w:rPr>
        <w:t>一、课程开发</w:t>
      </w:r>
      <w:bookmarkEnd w:id="4"/>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1、开展职业与工作调研分析，分析生物医药与健康产业的人才需求情况，遴选适合的企业、院校进行访谈交流，设计相关问卷进行调研，输出产业人才定位调研报告。</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2、开展实践专家访</w:t>
      </w:r>
      <w:bookmarkStart w:id="6" w:name="_GoBack"/>
      <w:bookmarkEnd w:id="6"/>
      <w:r>
        <w:rPr>
          <w:rFonts w:hint="eastAsia" w:ascii="宋体" w:hAnsi="宋体" w:eastAsia="宋体" w:cs="宋体"/>
          <w:color w:val="auto"/>
          <w:kern w:val="2"/>
          <w:sz w:val="24"/>
          <w:szCs w:val="24"/>
          <w:highlight w:val="none"/>
          <w:lang w:val="en-US" w:eastAsia="zh-CN"/>
        </w:rPr>
        <w:t>谈，面向“医疗器械检验、医疗器械组装调试”等岗位，提炼“医疗器械装配工”相关典型工作任务。</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3、开展课程体系研讨，确立“医疗器械装配工”的课程。</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4、汇编课程开发过程及成果材料，形成课程方案。</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5、结合典型工作任务的描述，确立课程目标、内容，并制定一体化课程标准。</w:t>
      </w:r>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6、结合实践专家访谈会成果，形成“医疗器械检验、医疗器械组装调试”的岗位标准。</w:t>
      </w:r>
    </w:p>
    <w:p>
      <w:pPr>
        <w:spacing w:line="360" w:lineRule="auto"/>
        <w:ind w:firstLine="480" w:firstLineChars="200"/>
        <w:rPr>
          <w:rFonts w:hint="eastAsia" w:ascii="宋体" w:hAnsi="宋体" w:eastAsia="宋体" w:cs="宋体"/>
          <w:color w:val="auto"/>
          <w:kern w:val="2"/>
          <w:sz w:val="24"/>
          <w:szCs w:val="24"/>
          <w:highlight w:val="none"/>
          <w:lang w:val="en-US" w:eastAsia="zh-CN"/>
        </w:rPr>
      </w:pPr>
      <w:bookmarkStart w:id="5" w:name="_Toc18638"/>
      <w:r>
        <w:rPr>
          <w:rFonts w:hint="eastAsia" w:ascii="宋体" w:hAnsi="宋体" w:eastAsia="宋体" w:cs="宋体"/>
          <w:color w:val="auto"/>
          <w:kern w:val="2"/>
          <w:sz w:val="24"/>
          <w:szCs w:val="24"/>
          <w:highlight w:val="none"/>
          <w:lang w:val="en-US" w:eastAsia="zh-CN"/>
        </w:rPr>
        <w:t>二、定制化教学资源</w:t>
      </w:r>
      <w:bookmarkEnd w:id="5"/>
    </w:p>
    <w:p>
      <w:pPr>
        <w:spacing w:line="360" w:lineRule="auto"/>
        <w:ind w:firstLine="480" w:firstLineChars="200"/>
        <w:rPr>
          <w:rFonts w:hint="eastAsia"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1、根据国家职业标准，面向社会化培训的需求，编写三个工种的职业标准培训教材，培训教材含中级、高级、技师三个等级进行编写。</w:t>
      </w:r>
    </w:p>
    <w:p>
      <w:pPr>
        <w:spacing w:line="360" w:lineRule="auto"/>
        <w:ind w:firstLine="480" w:firstLineChars="200"/>
        <w:rPr>
          <w:rFonts w:hint="default" w:ascii="宋体" w:hAnsi="宋体" w:eastAsia="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lang w:val="en-US" w:eastAsia="zh-CN"/>
        </w:rPr>
        <w:t>2、结合工种的不同层级，根据试题库框架体例要求，按中级、高级、技师三个等级建立技能等级认证试题库。</w:t>
      </w:r>
    </w:p>
    <w:sectPr>
      <w:footerReference r:id="rId3" w:type="default"/>
      <w:pgSz w:w="11906" w:h="16838"/>
      <w:pgMar w:top="1134" w:right="1134" w:bottom="1134" w:left="1134"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233D0A"/>
    <w:multiLevelType w:val="multilevel"/>
    <w:tmpl w:val="77233D0A"/>
    <w:lvl w:ilvl="0" w:tentative="0">
      <w:start w:val="1"/>
      <w:numFmt w:val="decimal"/>
      <w:pStyle w:val="3"/>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mYTJlN2NlZDI0Mjk3YjQ4OGVlNDEzZjllYzQ4Y2QifQ=="/>
  </w:docVars>
  <w:rsids>
    <w:rsidRoot w:val="00A7736B"/>
    <w:rsid w:val="00014348"/>
    <w:rsid w:val="00080919"/>
    <w:rsid w:val="001072B0"/>
    <w:rsid w:val="00164A3C"/>
    <w:rsid w:val="001977C6"/>
    <w:rsid w:val="001A2B2D"/>
    <w:rsid w:val="001A34DE"/>
    <w:rsid w:val="001B2E25"/>
    <w:rsid w:val="001C5EEE"/>
    <w:rsid w:val="00223809"/>
    <w:rsid w:val="00240565"/>
    <w:rsid w:val="002444D6"/>
    <w:rsid w:val="00253C36"/>
    <w:rsid w:val="00265BEC"/>
    <w:rsid w:val="002A4211"/>
    <w:rsid w:val="002C6952"/>
    <w:rsid w:val="002E6E3E"/>
    <w:rsid w:val="003A59EB"/>
    <w:rsid w:val="003B7479"/>
    <w:rsid w:val="003D4C8C"/>
    <w:rsid w:val="00421E17"/>
    <w:rsid w:val="004540C9"/>
    <w:rsid w:val="00497529"/>
    <w:rsid w:val="004F628E"/>
    <w:rsid w:val="005835F7"/>
    <w:rsid w:val="005945E1"/>
    <w:rsid w:val="00602034"/>
    <w:rsid w:val="006224D6"/>
    <w:rsid w:val="00653863"/>
    <w:rsid w:val="0068335C"/>
    <w:rsid w:val="00687B29"/>
    <w:rsid w:val="006C5B50"/>
    <w:rsid w:val="006D0BD3"/>
    <w:rsid w:val="0071671B"/>
    <w:rsid w:val="00723E4A"/>
    <w:rsid w:val="00744DF5"/>
    <w:rsid w:val="007F0F20"/>
    <w:rsid w:val="00834F4A"/>
    <w:rsid w:val="0084255E"/>
    <w:rsid w:val="0085382E"/>
    <w:rsid w:val="00864BDD"/>
    <w:rsid w:val="008A68ED"/>
    <w:rsid w:val="008B5C9A"/>
    <w:rsid w:val="008F4D60"/>
    <w:rsid w:val="008F6388"/>
    <w:rsid w:val="0096139C"/>
    <w:rsid w:val="009C1901"/>
    <w:rsid w:val="009F05FA"/>
    <w:rsid w:val="009F3944"/>
    <w:rsid w:val="00A32DFF"/>
    <w:rsid w:val="00A7736B"/>
    <w:rsid w:val="00AF08C7"/>
    <w:rsid w:val="00B717AB"/>
    <w:rsid w:val="00BD5A1A"/>
    <w:rsid w:val="00C13E0E"/>
    <w:rsid w:val="00C60784"/>
    <w:rsid w:val="00C61A43"/>
    <w:rsid w:val="00CA5C24"/>
    <w:rsid w:val="00D36060"/>
    <w:rsid w:val="00D413C6"/>
    <w:rsid w:val="00D7452F"/>
    <w:rsid w:val="00DA7A59"/>
    <w:rsid w:val="00E903E9"/>
    <w:rsid w:val="00E93158"/>
    <w:rsid w:val="00EB55DE"/>
    <w:rsid w:val="019B2ECB"/>
    <w:rsid w:val="01CA5A95"/>
    <w:rsid w:val="02B96468"/>
    <w:rsid w:val="06CE3AE3"/>
    <w:rsid w:val="07A27CB8"/>
    <w:rsid w:val="08BD6586"/>
    <w:rsid w:val="0A544258"/>
    <w:rsid w:val="0AAC0731"/>
    <w:rsid w:val="0C0C017B"/>
    <w:rsid w:val="0D6B43A8"/>
    <w:rsid w:val="0D7675A0"/>
    <w:rsid w:val="110765F0"/>
    <w:rsid w:val="14F43D58"/>
    <w:rsid w:val="1588321A"/>
    <w:rsid w:val="158C4BBC"/>
    <w:rsid w:val="19991916"/>
    <w:rsid w:val="1A9E2DFF"/>
    <w:rsid w:val="1B2D665E"/>
    <w:rsid w:val="1E5439C8"/>
    <w:rsid w:val="1E973964"/>
    <w:rsid w:val="203176E0"/>
    <w:rsid w:val="27885BF1"/>
    <w:rsid w:val="28415903"/>
    <w:rsid w:val="28697A58"/>
    <w:rsid w:val="290F25F7"/>
    <w:rsid w:val="2AA809EC"/>
    <w:rsid w:val="2BBC43F6"/>
    <w:rsid w:val="3175714F"/>
    <w:rsid w:val="33016EEC"/>
    <w:rsid w:val="34257B9A"/>
    <w:rsid w:val="35382DFA"/>
    <w:rsid w:val="368F1515"/>
    <w:rsid w:val="376D6345"/>
    <w:rsid w:val="382114CC"/>
    <w:rsid w:val="38CE3147"/>
    <w:rsid w:val="397160F3"/>
    <w:rsid w:val="3A925E6C"/>
    <w:rsid w:val="3C5E53AF"/>
    <w:rsid w:val="3CA204BF"/>
    <w:rsid w:val="3F921DB4"/>
    <w:rsid w:val="423F2B8D"/>
    <w:rsid w:val="42BC3428"/>
    <w:rsid w:val="43060390"/>
    <w:rsid w:val="43E30CA1"/>
    <w:rsid w:val="453A139E"/>
    <w:rsid w:val="45AE08C8"/>
    <w:rsid w:val="466113E4"/>
    <w:rsid w:val="480D18AD"/>
    <w:rsid w:val="4A580AB5"/>
    <w:rsid w:val="4DD2750D"/>
    <w:rsid w:val="4E8A1436"/>
    <w:rsid w:val="4EA97D5B"/>
    <w:rsid w:val="4EF83E1F"/>
    <w:rsid w:val="4FEF0E2D"/>
    <w:rsid w:val="50BB66E3"/>
    <w:rsid w:val="521D4F6D"/>
    <w:rsid w:val="526D1ACB"/>
    <w:rsid w:val="53F242EF"/>
    <w:rsid w:val="55A92091"/>
    <w:rsid w:val="588432BC"/>
    <w:rsid w:val="594817FD"/>
    <w:rsid w:val="598A4AA9"/>
    <w:rsid w:val="5B3A65A0"/>
    <w:rsid w:val="5C087B2C"/>
    <w:rsid w:val="5CB033BE"/>
    <w:rsid w:val="5DDC67DE"/>
    <w:rsid w:val="5E097B9C"/>
    <w:rsid w:val="5EBF2F2B"/>
    <w:rsid w:val="5FFE7AA2"/>
    <w:rsid w:val="6021113B"/>
    <w:rsid w:val="614E5143"/>
    <w:rsid w:val="6C3057D4"/>
    <w:rsid w:val="6CCE7F1D"/>
    <w:rsid w:val="6D1E6129"/>
    <w:rsid w:val="6D4F64CA"/>
    <w:rsid w:val="6DFD034F"/>
    <w:rsid w:val="6ECC2B2D"/>
    <w:rsid w:val="71C62AB1"/>
    <w:rsid w:val="7229553C"/>
    <w:rsid w:val="72DC3727"/>
    <w:rsid w:val="72F04C82"/>
    <w:rsid w:val="73000A6D"/>
    <w:rsid w:val="74102438"/>
    <w:rsid w:val="75A16751"/>
    <w:rsid w:val="76C77417"/>
    <w:rsid w:val="779A20E1"/>
    <w:rsid w:val="7ABC1F6F"/>
    <w:rsid w:val="7E451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1"/>
    <w:qFormat/>
    <w:uiPriority w:val="0"/>
    <w:pPr>
      <w:keepNext/>
      <w:keepLines/>
      <w:numPr>
        <w:ilvl w:val="0"/>
        <w:numId w:val="1"/>
      </w:numPr>
      <w:spacing w:before="340" w:after="330" w:line="576" w:lineRule="auto"/>
      <w:outlineLvl w:val="0"/>
    </w:pPr>
    <w:rPr>
      <w:b/>
      <w:kern w:val="44"/>
      <w:sz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3"/>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_Style 3"/>
    <w:basedOn w:val="1"/>
    <w:qFormat/>
    <w:uiPriority w:val="0"/>
    <w:pPr>
      <w:ind w:firstLine="420" w:firstLineChars="200"/>
    </w:pPr>
    <w:rPr>
      <w:sz w:val="20"/>
    </w:rPr>
  </w:style>
  <w:style w:type="paragraph" w:styleId="6">
    <w:name w:val="Normal Indent"/>
    <w:basedOn w:val="1"/>
    <w:next w:val="1"/>
    <w:qFormat/>
    <w:uiPriority w:val="0"/>
    <w:pPr>
      <w:ind w:firstLine="420" w:firstLineChars="200"/>
    </w:pPr>
  </w:style>
  <w:style w:type="paragraph" w:styleId="7">
    <w:name w:val="annotation text"/>
    <w:basedOn w:val="1"/>
    <w:link w:val="26"/>
    <w:semiHidden/>
    <w:unhideWhenUsed/>
    <w:qFormat/>
    <w:uiPriority w:val="99"/>
    <w:pPr>
      <w:jc w:val="left"/>
    </w:pPr>
  </w:style>
  <w:style w:type="paragraph" w:styleId="8">
    <w:name w:val="Body Text"/>
    <w:basedOn w:val="1"/>
    <w:next w:val="1"/>
    <w:qFormat/>
    <w:uiPriority w:val="1"/>
    <w:pPr>
      <w:ind w:left="149"/>
    </w:pPr>
    <w:rPr>
      <w:rFonts w:ascii="宋体" w:hAnsi="宋体" w:eastAsia="宋体"/>
      <w:szCs w:val="21"/>
    </w:rPr>
  </w:style>
  <w:style w:type="paragraph" w:styleId="9">
    <w:name w:val="footer"/>
    <w:basedOn w:val="1"/>
    <w:link w:val="32"/>
    <w:unhideWhenUsed/>
    <w:qFormat/>
    <w:uiPriority w:val="99"/>
    <w:pPr>
      <w:tabs>
        <w:tab w:val="center" w:pos="4153"/>
        <w:tab w:val="right" w:pos="8306"/>
      </w:tabs>
      <w:snapToGrid w:val="0"/>
      <w:jc w:val="left"/>
    </w:pPr>
    <w:rPr>
      <w:sz w:val="18"/>
      <w:szCs w:val="18"/>
    </w:rPr>
  </w:style>
  <w:style w:type="paragraph" w:styleId="10">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unhideWhenUsed/>
    <w:qFormat/>
    <w:uiPriority w:val="39"/>
  </w:style>
  <w:style w:type="paragraph" w:styleId="12">
    <w:name w:val="toc 2"/>
    <w:basedOn w:val="1"/>
    <w:next w:val="1"/>
    <w:semiHidden/>
    <w:unhideWhenUsed/>
    <w:qFormat/>
    <w:uiPriority w:val="39"/>
    <w:pPr>
      <w:ind w:left="420" w:leftChars="200"/>
    </w:pPr>
  </w:style>
  <w:style w:type="paragraph" w:styleId="13">
    <w:name w:val="annotation subject"/>
    <w:basedOn w:val="7"/>
    <w:next w:val="7"/>
    <w:link w:val="27"/>
    <w:semiHidden/>
    <w:unhideWhenUsed/>
    <w:qFormat/>
    <w:uiPriority w:val="99"/>
    <w:rPr>
      <w:b/>
      <w:bCs/>
    </w:rPr>
  </w:style>
  <w:style w:type="paragraph" w:styleId="14">
    <w:name w:val="Body Text First Indent"/>
    <w:basedOn w:val="8"/>
    <w:unhideWhenUsed/>
    <w:qFormat/>
    <w:uiPriority w:val="99"/>
    <w:pPr>
      <w:ind w:firstLine="420" w:firstLineChars="1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annotation reference"/>
    <w:basedOn w:val="17"/>
    <w:semiHidden/>
    <w:unhideWhenUsed/>
    <w:qFormat/>
    <w:uiPriority w:val="99"/>
    <w:rPr>
      <w:sz w:val="21"/>
      <w:szCs w:val="21"/>
    </w:rPr>
  </w:style>
  <w:style w:type="paragraph" w:customStyle="1" w:styleId="19">
    <w:name w:val="正文正"/>
    <w:basedOn w:val="1"/>
    <w:qFormat/>
    <w:uiPriority w:val="99"/>
    <w:pPr>
      <w:spacing w:line="560" w:lineRule="exact"/>
      <w:ind w:firstLine="561"/>
    </w:pPr>
    <w:rPr>
      <w:rFonts w:eastAsia="仿宋_GB2312"/>
      <w:sz w:val="28"/>
    </w:rPr>
  </w:style>
  <w:style w:type="paragraph" w:customStyle="1" w:styleId="20">
    <w:name w:val="表格文字"/>
    <w:basedOn w:val="1"/>
    <w:qFormat/>
    <w:uiPriority w:val="0"/>
    <w:pPr>
      <w:spacing w:before="25" w:after="25"/>
      <w:jc w:val="left"/>
    </w:pPr>
    <w:rPr>
      <w:rFonts w:ascii="Times New Roman" w:hAnsi="Times New Roman"/>
      <w:bCs/>
      <w:spacing w:val="10"/>
      <w:kern w:val="0"/>
      <w:sz w:val="24"/>
      <w:szCs w:val="20"/>
    </w:rPr>
  </w:style>
  <w:style w:type="character" w:customStyle="1" w:styleId="21">
    <w:name w:val="标题 1 字符"/>
    <w:basedOn w:val="17"/>
    <w:link w:val="3"/>
    <w:qFormat/>
    <w:uiPriority w:val="0"/>
    <w:rPr>
      <w:b/>
      <w:kern w:val="44"/>
      <w:sz w:val="44"/>
      <w:szCs w:val="24"/>
    </w:rPr>
  </w:style>
  <w:style w:type="character" w:customStyle="1" w:styleId="22">
    <w:name w:val="标题 2 字符"/>
    <w:basedOn w:val="17"/>
    <w:link w:val="4"/>
    <w:qFormat/>
    <w:uiPriority w:val="9"/>
    <w:rPr>
      <w:rFonts w:asciiTheme="majorHAnsi" w:hAnsiTheme="majorHAnsi" w:eastAsiaTheme="majorEastAsia" w:cstheme="majorBidi"/>
      <w:b/>
      <w:bCs/>
      <w:sz w:val="32"/>
      <w:szCs w:val="32"/>
    </w:rPr>
  </w:style>
  <w:style w:type="character" w:customStyle="1" w:styleId="23">
    <w:name w:val="标题 3 字符"/>
    <w:basedOn w:val="17"/>
    <w:link w:val="5"/>
    <w:qFormat/>
    <w:uiPriority w:val="9"/>
    <w:rPr>
      <w:b/>
      <w:bCs/>
      <w:kern w:val="2"/>
      <w:sz w:val="32"/>
      <w:szCs w:val="32"/>
    </w:rPr>
  </w:style>
  <w:style w:type="paragraph" w:customStyle="1" w:styleId="24">
    <w:name w:val="正文_0"/>
    <w:qFormat/>
    <w:uiPriority w:val="0"/>
    <w:pPr>
      <w:widowControl w:val="0"/>
      <w:spacing w:after="200" w:line="360" w:lineRule="auto"/>
      <w:jc w:val="both"/>
    </w:pPr>
    <w:rPr>
      <w:rFonts w:ascii="Calibri" w:hAnsi="Calibri" w:eastAsia="宋体" w:cs="Times New Roman"/>
      <w:kern w:val="2"/>
      <w:sz w:val="24"/>
      <w:szCs w:val="22"/>
      <w:lang w:val="en-US" w:eastAsia="zh-CN" w:bidi="ar-SA"/>
    </w:rPr>
  </w:style>
  <w:style w:type="paragraph" w:customStyle="1" w:styleId="25">
    <w:name w:val="正文_9"/>
    <w:qFormat/>
    <w:uiPriority w:val="0"/>
    <w:pPr>
      <w:widowControl w:val="0"/>
      <w:jc w:val="both"/>
    </w:pPr>
    <w:rPr>
      <w:rFonts w:ascii="Calibri" w:hAnsi="Calibri" w:eastAsia="宋体" w:cs="Times New Roman"/>
      <w:kern w:val="2"/>
      <w:sz w:val="21"/>
      <w:szCs w:val="22"/>
      <w:lang w:val="en-US" w:eastAsia="zh-CN" w:bidi="ar-SA"/>
    </w:rPr>
  </w:style>
  <w:style w:type="character" w:customStyle="1" w:styleId="26">
    <w:name w:val="批注文字 字符"/>
    <w:basedOn w:val="17"/>
    <w:link w:val="7"/>
    <w:semiHidden/>
    <w:qFormat/>
    <w:uiPriority w:val="99"/>
    <w:rPr>
      <w:szCs w:val="24"/>
    </w:rPr>
  </w:style>
  <w:style w:type="character" w:customStyle="1" w:styleId="27">
    <w:name w:val="批注主题 字符"/>
    <w:basedOn w:val="26"/>
    <w:link w:val="13"/>
    <w:semiHidden/>
    <w:qFormat/>
    <w:uiPriority w:val="99"/>
    <w:rPr>
      <w:b/>
      <w:bCs/>
      <w:szCs w:val="24"/>
    </w:rPr>
  </w:style>
  <w:style w:type="character" w:customStyle="1" w:styleId="28">
    <w:name w:val="font41"/>
    <w:basedOn w:val="17"/>
    <w:qFormat/>
    <w:uiPriority w:val="0"/>
    <w:rPr>
      <w:rFonts w:hint="eastAsia" w:ascii="微软雅黑" w:hAnsi="微软雅黑" w:eastAsia="微软雅黑"/>
      <w:color w:val="000000"/>
      <w:sz w:val="20"/>
      <w:szCs w:val="20"/>
      <w:u w:val="none"/>
    </w:rPr>
  </w:style>
  <w:style w:type="character" w:customStyle="1" w:styleId="29">
    <w:name w:val="font91"/>
    <w:basedOn w:val="17"/>
    <w:qFormat/>
    <w:uiPriority w:val="0"/>
    <w:rPr>
      <w:rFonts w:hint="eastAsia" w:ascii="微软雅黑" w:hAnsi="微软雅黑" w:eastAsia="微软雅黑"/>
      <w:color w:val="000000"/>
      <w:sz w:val="21"/>
      <w:szCs w:val="21"/>
      <w:u w:val="none"/>
    </w:rPr>
  </w:style>
  <w:style w:type="paragraph" w:styleId="30">
    <w:name w:val="List Paragraph"/>
    <w:basedOn w:val="1"/>
    <w:qFormat/>
    <w:uiPriority w:val="99"/>
    <w:pPr>
      <w:ind w:firstLine="420" w:firstLineChars="200"/>
    </w:pPr>
  </w:style>
  <w:style w:type="character" w:customStyle="1" w:styleId="31">
    <w:name w:val="页眉 字符"/>
    <w:basedOn w:val="17"/>
    <w:link w:val="10"/>
    <w:qFormat/>
    <w:uiPriority w:val="99"/>
    <w:rPr>
      <w:kern w:val="2"/>
      <w:sz w:val="18"/>
      <w:szCs w:val="18"/>
    </w:rPr>
  </w:style>
  <w:style w:type="character" w:customStyle="1" w:styleId="32">
    <w:name w:val="页脚 字符"/>
    <w:basedOn w:val="17"/>
    <w:link w:val="9"/>
    <w:qFormat/>
    <w:uiPriority w:val="99"/>
    <w:rPr>
      <w:kern w:val="2"/>
      <w:sz w:val="18"/>
      <w:szCs w:val="18"/>
    </w:rPr>
  </w:style>
  <w:style w:type="character" w:customStyle="1" w:styleId="33">
    <w:name w:val="font31"/>
    <w:basedOn w:val="17"/>
    <w:qFormat/>
    <w:uiPriority w:val="0"/>
    <w:rPr>
      <w:rFonts w:hint="eastAsia" w:ascii="宋体" w:hAnsi="宋体" w:eastAsia="宋体" w:cs="宋体"/>
      <w:color w:val="000000"/>
      <w:sz w:val="18"/>
      <w:szCs w:val="18"/>
      <w:u w:val="none"/>
    </w:rPr>
  </w:style>
  <w:style w:type="character" w:customStyle="1" w:styleId="34">
    <w:name w:val="font131"/>
    <w:basedOn w:val="17"/>
    <w:qFormat/>
    <w:uiPriority w:val="0"/>
    <w:rPr>
      <w:rFonts w:hint="eastAsia" w:ascii="宋体" w:hAnsi="宋体" w:eastAsia="宋体" w:cs="宋体"/>
      <w:color w:val="000000"/>
      <w:sz w:val="18"/>
      <w:szCs w:val="18"/>
      <w:u w:val="none"/>
      <w:vertAlign w:val="superscript"/>
    </w:rPr>
  </w:style>
  <w:style w:type="character" w:customStyle="1" w:styleId="35">
    <w:name w:val="font141"/>
    <w:basedOn w:val="17"/>
    <w:qFormat/>
    <w:uiPriority w:val="0"/>
    <w:rPr>
      <w:rFonts w:hint="eastAsia" w:ascii="宋体" w:hAnsi="宋体" w:eastAsia="宋体" w:cs="宋体"/>
      <w:color w:val="000000"/>
      <w:sz w:val="20"/>
      <w:szCs w:val="20"/>
      <w:u w:val="none"/>
      <w:vertAlign w:val="superscript"/>
    </w:rPr>
  </w:style>
  <w:style w:type="paragraph" w:customStyle="1" w:styleId="36">
    <w:name w:val="Normal_34"/>
    <w:qFormat/>
    <w:uiPriority w:val="0"/>
    <w:rPr>
      <w:rFonts w:ascii="Times New Roman" w:hAnsi="Times New Roman" w:eastAsia="Times New Roman" w:cs="Times New Roman"/>
      <w:sz w:val="24"/>
      <w:szCs w:val="24"/>
      <w:lang w:val="en-US" w:eastAsia="zh-CN" w:bidi="ar-SA"/>
    </w:rPr>
  </w:style>
  <w:style w:type="paragraph" w:customStyle="1" w:styleId="37">
    <w:name w:val="Table Paragraph"/>
    <w:basedOn w:val="1"/>
    <w:qFormat/>
    <w:uiPriority w:val="1"/>
  </w:style>
  <w:style w:type="paragraph" w:customStyle="1" w:styleId="38">
    <w:name w:val="正文_0_0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6188</Words>
  <Characters>8389</Characters>
  <Lines>73</Lines>
  <Paragraphs>20</Paragraphs>
  <TotalTime>0</TotalTime>
  <ScaleCrop>false</ScaleCrop>
  <LinksUpToDate>false</LinksUpToDate>
  <CharactersWithSpaces>8396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2021-04-01T01:34:00Z</dcterms:created>
  <dc:creator>陈 佳贤</dc:creator>
  <cp:lastModifiedBy>Space</cp:lastModifiedBy>
  <cp:lastPrinted>2021-04-08T02:27:00Z</cp:lastPrinted>
  <dcterms:modified xsi:type="dcterms:W3CDTF">2023-07-27T23:51:29Z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3D07849331494C4F8E507DF7E9EB18EB</vt:lpwstr>
  </property>
</Properties>
</file>